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0F1D4B" w14:textId="77777777" w:rsidR="00B970F8" w:rsidRPr="00156FB5" w:rsidRDefault="00B970F8" w:rsidP="00B970F8">
      <w:pPr>
        <w:pStyle w:val="casestudyheading"/>
        <w:keepNext w:val="0"/>
      </w:pPr>
      <w:r w:rsidRPr="00156FB5">
        <w:t>CASE STUDY 8.2: Brexit and representation</w:t>
      </w:r>
    </w:p>
    <w:p w14:paraId="19E3ADBA" w14:textId="77777777" w:rsidR="00B970F8" w:rsidRPr="00156FB5" w:rsidRDefault="00B970F8" w:rsidP="00B970F8">
      <w:pPr>
        <w:pStyle w:val="casestudybheading"/>
        <w:keepNext w:val="0"/>
        <w:shd w:val="pct10" w:color="auto" w:fill="auto"/>
        <w:rPr>
          <w:rStyle w:val="bold"/>
          <w:rFonts w:asciiTheme="majorBidi" w:hAnsiTheme="majorBidi"/>
          <w:b/>
          <w:bCs/>
          <w:szCs w:val="24"/>
        </w:rPr>
      </w:pPr>
      <w:r w:rsidRPr="00156FB5">
        <w:rPr>
          <w:rStyle w:val="bold"/>
          <w:rFonts w:asciiTheme="majorBidi" w:hAnsiTheme="majorBidi"/>
          <w:szCs w:val="24"/>
        </w:rPr>
        <w:t>Events</w:t>
      </w:r>
    </w:p>
    <w:p w14:paraId="4E8C6633" w14:textId="77777777" w:rsidR="00B970F8" w:rsidRPr="00156FB5" w:rsidRDefault="00B970F8" w:rsidP="00B970F8">
      <w:pPr>
        <w:pStyle w:val="casestudyfirstpara"/>
        <w:shd w:val="pct10" w:color="auto" w:fill="auto"/>
        <w:rPr>
          <w:rFonts w:asciiTheme="majorBidi" w:hAnsiTheme="majorBidi" w:cstheme="majorBidi"/>
          <w:szCs w:val="24"/>
        </w:rPr>
      </w:pPr>
      <w:r w:rsidRPr="00156FB5">
        <w:rPr>
          <w:rFonts w:asciiTheme="majorBidi" w:hAnsiTheme="majorBidi" w:cstheme="majorBidi"/>
          <w:szCs w:val="24"/>
        </w:rPr>
        <w:t xml:space="preserve">More than any other recent issue, Brexit has challenged the three theories of representation for British MPs. For the Conservatives, many MPs had campaigned and voted to remain in the EU, but after the Referendum, felt unable to support either Theresa May’s or Boris Johnson’s approach to Brexit. Many Labour MPs had supported remaining in the EU during the Referendum campaign but represented constituencies which had voted heavily to leave. Additionally, the Labour Party supported remaining in the EU during the Referendum. </w:t>
      </w:r>
    </w:p>
    <w:p w14:paraId="7B39A41E" w14:textId="77777777" w:rsidR="00B970F8" w:rsidRPr="00156FB5" w:rsidRDefault="00B970F8" w:rsidP="00B970F8">
      <w:pPr>
        <w:pStyle w:val="casestudybheading"/>
        <w:keepNext w:val="0"/>
        <w:shd w:val="pct10" w:color="auto" w:fill="auto"/>
        <w:rPr>
          <w:rStyle w:val="bold"/>
          <w:rFonts w:asciiTheme="majorBidi" w:hAnsiTheme="majorBidi"/>
          <w:b/>
          <w:bCs/>
          <w:szCs w:val="24"/>
        </w:rPr>
      </w:pPr>
      <w:r w:rsidRPr="00156FB5">
        <w:rPr>
          <w:rStyle w:val="bold"/>
          <w:rFonts w:asciiTheme="majorBidi" w:hAnsiTheme="majorBidi"/>
          <w:szCs w:val="24"/>
        </w:rPr>
        <w:t>Significance</w:t>
      </w:r>
    </w:p>
    <w:p w14:paraId="6D59FAD2" w14:textId="77777777" w:rsidR="00B970F8" w:rsidRPr="00156FB5" w:rsidRDefault="00B970F8" w:rsidP="00B970F8">
      <w:pPr>
        <w:pStyle w:val="casestudyfirstpara"/>
        <w:shd w:val="pct10" w:color="auto" w:fill="auto"/>
        <w:rPr>
          <w:rFonts w:asciiTheme="majorBidi" w:hAnsiTheme="majorBidi" w:cstheme="majorBidi"/>
          <w:szCs w:val="24"/>
        </w:rPr>
      </w:pPr>
      <w:r w:rsidRPr="00156FB5">
        <w:rPr>
          <w:rFonts w:asciiTheme="majorBidi" w:hAnsiTheme="majorBidi" w:cstheme="majorBidi"/>
          <w:szCs w:val="24"/>
        </w:rPr>
        <w:t xml:space="preserve">Lisa Nandy, who came third in the Labour leadership election in 2020, was one MP who had campaigned and voted to remain in the EU. However, her Wigan constituency had voted 63–37% to leave the EU. After the Referendum, she chose to support the wishes of her constituents and supported legislation to leave the EU and rejected the call for a second referendum which many in Labour supported. Although she lost 15% of her vote in 2019 (and the Brexit party gained 13%), she was re-elected with a 47% vote share. </w:t>
      </w:r>
    </w:p>
    <w:p w14:paraId="2FF84818" w14:textId="77777777" w:rsidR="00B970F8" w:rsidRPr="00156FB5" w:rsidRDefault="00B970F8" w:rsidP="00B970F8">
      <w:pPr>
        <w:pStyle w:val="casestudyfirstpara"/>
        <w:shd w:val="pct10" w:color="auto" w:fill="auto"/>
        <w:rPr>
          <w:rFonts w:asciiTheme="majorBidi" w:hAnsiTheme="majorBidi" w:cstheme="majorBidi"/>
          <w:szCs w:val="24"/>
        </w:rPr>
      </w:pPr>
      <w:r w:rsidRPr="00156FB5">
        <w:rPr>
          <w:rFonts w:asciiTheme="majorBidi" w:hAnsiTheme="majorBidi" w:cstheme="majorBidi"/>
          <w:szCs w:val="24"/>
        </w:rPr>
        <w:t>Laura Pidcock was elected as MP for North West Durham in 2017, and was a rising star in the Labour Party. She consistently voted against Brexit against the wishes of her constituency, which voted 55–45% to leave the EU, and subsequently lost her seat in 2019 to Conservative Richard Holden.</w:t>
      </w:r>
    </w:p>
    <w:p w14:paraId="62F299A8" w14:textId="77777777" w:rsidR="00B970F8" w:rsidRPr="00156FB5" w:rsidRDefault="00B970F8" w:rsidP="00B970F8">
      <w:pPr>
        <w:pStyle w:val="casestudyfirstpara"/>
        <w:shd w:val="pct10" w:color="auto" w:fill="auto"/>
        <w:rPr>
          <w:rFonts w:asciiTheme="majorBidi" w:hAnsiTheme="majorBidi" w:cstheme="majorBidi"/>
          <w:szCs w:val="24"/>
        </w:rPr>
      </w:pPr>
      <w:r w:rsidRPr="00156FB5">
        <w:rPr>
          <w:rFonts w:asciiTheme="majorBidi" w:hAnsiTheme="majorBidi" w:cstheme="majorBidi"/>
          <w:szCs w:val="24"/>
        </w:rPr>
        <w:t>In 2019, former attorney-general and key anti-Brexit player, Dominic Grieve, lost his Beaconsfield seat (which had voted 50.99–49.01 to Remain) which he had represented for 22 years. Grieve was one of 21 Conservative MPs who, in September 2019, had the party whip withdrawn over their opposition to a no-deal Brexit. He lost to the official Conservative candidate, Joy Morrissey, who was elected with 56% of the vote to Grieve’s 29%.</w:t>
      </w:r>
    </w:p>
    <w:p w14:paraId="1553A65A" w14:textId="625D2049" w:rsidR="00CF2934" w:rsidRPr="00B970F8" w:rsidRDefault="00B970F8" w:rsidP="00B970F8">
      <w:pPr>
        <w:pStyle w:val="casestudyfirstpara"/>
        <w:shd w:val="pct10" w:color="auto" w:fill="auto"/>
        <w:rPr>
          <w:rFonts w:asciiTheme="majorBidi" w:hAnsiTheme="majorBidi" w:cstheme="majorBidi"/>
          <w:szCs w:val="24"/>
        </w:rPr>
      </w:pPr>
      <w:r w:rsidRPr="00156FB5">
        <w:rPr>
          <w:rFonts w:asciiTheme="majorBidi" w:hAnsiTheme="majorBidi" w:cstheme="majorBidi"/>
          <w:szCs w:val="24"/>
        </w:rPr>
        <w:t xml:space="preserve">Anna Soubry would certainly fall under the category of a Remain MP who struggled to come </w:t>
      </w:r>
      <w:r w:rsidRPr="00156FB5">
        <w:rPr>
          <w:rFonts w:asciiTheme="majorBidi" w:hAnsiTheme="majorBidi" w:cstheme="majorBidi"/>
          <w:szCs w:val="24"/>
        </w:rPr>
        <w:lastRenderedPageBreak/>
        <w:t>to terms with the Referendum result. Despite voting to trigger Article 50 in February 2017, she subsequently became a key supporter of the People’s Vote movement, which campaigned for a second referendum. By 2019, she had resigned the Conservative whip and joined the newly formed Independent Group for Change. However, she lost her Broxtowe seat (which had voted 52.5–47.5 to Leave) to the official Conservative candidate.</w:t>
      </w:r>
    </w:p>
    <w:sectPr w:rsidR="00CF2934" w:rsidRPr="00B970F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0F8"/>
    <w:rsid w:val="00B970F8"/>
    <w:rsid w:val="00CF29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C9C5F5"/>
  <w15:chartTrackingRefBased/>
  <w15:docId w15:val="{1CDB5813-7A11-453E-A675-0705FCCBA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uiPriority w:val="99"/>
    <w:rsid w:val="00B970F8"/>
    <w:rPr>
      <w:rFonts w:ascii="Times New Roman" w:hAnsi="Times New Roman" w:cs="Times New Roman"/>
      <w:b/>
      <w:bCs/>
      <w:color w:val="auto"/>
      <w:spacing w:val="0"/>
      <w:w w:val="100"/>
      <w:position w:val="0"/>
      <w:sz w:val="24"/>
    </w:rPr>
  </w:style>
  <w:style w:type="paragraph" w:customStyle="1" w:styleId="casestudyheading">
    <w:name w:val="case study heading"/>
    <w:basedOn w:val="Normal"/>
    <w:uiPriority w:val="99"/>
    <w:rsid w:val="00B970F8"/>
    <w:pPr>
      <w:keepNext/>
      <w:widowControl w:val="0"/>
      <w:shd w:val="pct10" w:color="auto" w:fill="auto"/>
      <w:suppressAutoHyphens/>
      <w:autoSpaceDE w:val="0"/>
      <w:autoSpaceDN w:val="0"/>
      <w:adjustRightInd w:val="0"/>
      <w:spacing w:after="0" w:line="480" w:lineRule="auto"/>
      <w:textAlignment w:val="center"/>
    </w:pPr>
    <w:rPr>
      <w:rFonts w:ascii="Times New Roman" w:eastAsiaTheme="minorEastAsia" w:hAnsi="Times New Roman" w:cs="Times New Roman"/>
      <w:b/>
      <w:bCs/>
      <w:caps/>
      <w:sz w:val="24"/>
      <w:szCs w:val="24"/>
    </w:rPr>
  </w:style>
  <w:style w:type="paragraph" w:customStyle="1" w:styleId="casestudybheading">
    <w:name w:val="case study b heading"/>
    <w:basedOn w:val="BodyText"/>
    <w:uiPriority w:val="99"/>
    <w:rsid w:val="00B970F8"/>
    <w:pPr>
      <w:keepNext/>
      <w:widowControl w:val="0"/>
      <w:suppressAutoHyphens/>
      <w:autoSpaceDE w:val="0"/>
      <w:autoSpaceDN w:val="0"/>
      <w:adjustRightInd w:val="0"/>
      <w:spacing w:after="0" w:line="480" w:lineRule="auto"/>
      <w:textAlignment w:val="center"/>
    </w:pPr>
    <w:rPr>
      <w:rFonts w:ascii="Times New Roman" w:eastAsiaTheme="minorEastAsia" w:hAnsi="Times New Roman" w:cs="Times New Roman"/>
      <w:b/>
      <w:bCs/>
      <w:sz w:val="24"/>
      <w:szCs w:val="20"/>
    </w:rPr>
  </w:style>
  <w:style w:type="paragraph" w:customStyle="1" w:styleId="casestudyfirstpara">
    <w:name w:val="case study first para"/>
    <w:basedOn w:val="Normal"/>
    <w:uiPriority w:val="99"/>
    <w:rsid w:val="00B970F8"/>
    <w:pPr>
      <w:widowControl w:val="0"/>
      <w:suppressAutoHyphens/>
      <w:autoSpaceDE w:val="0"/>
      <w:autoSpaceDN w:val="0"/>
      <w:adjustRightInd w:val="0"/>
      <w:spacing w:after="0" w:line="480" w:lineRule="auto"/>
      <w:textAlignment w:val="center"/>
    </w:pPr>
    <w:rPr>
      <w:rFonts w:ascii="Times New Roman" w:eastAsiaTheme="minorEastAsia" w:hAnsi="Times New Roman" w:cs="Times New Roman"/>
      <w:sz w:val="24"/>
      <w:szCs w:val="18"/>
    </w:rPr>
  </w:style>
  <w:style w:type="paragraph" w:styleId="BodyText">
    <w:name w:val="Body Text"/>
    <w:basedOn w:val="Normal"/>
    <w:link w:val="BodyTextChar"/>
    <w:uiPriority w:val="99"/>
    <w:semiHidden/>
    <w:unhideWhenUsed/>
    <w:rsid w:val="00B970F8"/>
    <w:pPr>
      <w:spacing w:after="120"/>
    </w:pPr>
  </w:style>
  <w:style w:type="character" w:customStyle="1" w:styleId="BodyTextChar">
    <w:name w:val="Body Text Char"/>
    <w:basedOn w:val="DefaultParagraphFont"/>
    <w:link w:val="BodyText"/>
    <w:uiPriority w:val="99"/>
    <w:semiHidden/>
    <w:rsid w:val="00B970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349</Words>
  <Characters>1990</Characters>
  <Application>Microsoft Office Word</Application>
  <DocSecurity>0</DocSecurity>
  <Lines>16</Lines>
  <Paragraphs>4</Paragraphs>
  <ScaleCrop>false</ScaleCrop>
  <Company>Bloomsbury Publishing Plc</Company>
  <LinksUpToDate>false</LinksUpToDate>
  <CharactersWithSpaces>2335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Aleta Bezuidenhout</dc:creator>
  <cp:keywords/>
  <dc:description/>
  <cp:lastModifiedBy>Aleta Bezuidenhout</cp:lastModifiedBy>
  <cp:revision>1</cp:revision>
  <dcterms:created xsi:type="dcterms:W3CDTF">2026-07-02T12:55:00Z</dcterms:created>
  <dcterms:modified xsi:type="dcterms:W3CDTF">2026-07-02T12:56:00Z</dcterms:modified>
</cp:coreProperties>
</file>